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center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財團法人戒嚴時期不當叛亂暨匪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諜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審判案件補償基金會移撥之卷宗及相關檔案開放應用要點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440" w:hangingChars="200" w:hanging="440"/>
        <w:jc w:val="right"/>
        <w:rPr>
          <w:rFonts w:ascii="標楷體" w:eastAsia="標楷體" w:hAnsi="標楷體" w:hint="eastAsia"/>
          <w:sz w:val="22"/>
        </w:rPr>
      </w:pPr>
      <w:r w:rsidRPr="00374510">
        <w:rPr>
          <w:rFonts w:ascii="標楷體" w:eastAsia="標楷體" w:hAnsi="標楷體" w:hint="eastAsia"/>
          <w:sz w:val="22"/>
        </w:rPr>
        <w:t>中華民國107年10月3日</w:t>
      </w:r>
      <w:proofErr w:type="gramStart"/>
      <w:r w:rsidRPr="00374510">
        <w:rPr>
          <w:rFonts w:ascii="標楷體" w:eastAsia="標楷體" w:hAnsi="標楷體" w:hint="eastAsia"/>
          <w:sz w:val="22"/>
        </w:rPr>
        <w:t>人權典字第10720028091</w:t>
      </w:r>
      <w:proofErr w:type="gramEnd"/>
      <w:r w:rsidRPr="00374510">
        <w:rPr>
          <w:rFonts w:ascii="標楷體" w:eastAsia="標楷體" w:hAnsi="標楷體" w:hint="eastAsia"/>
          <w:sz w:val="22"/>
        </w:rPr>
        <w:t>號令訂定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一、國家人權博物館（以下簡稱本館）為推動臺灣轉型正義，促進政治案件研究、教育及開放應用，特訂定本要點。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二、本要點所稱財團法人戒嚴時期不當叛亂暨匪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諜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審判案件補償基金會移撥之卷宗及相關檔案（以下簡稱補償檔案），指補償基金會移交文化部之所有文字、非文字、實體紙本與數位檔案等資料及其附件。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三、本要點所稱補償檔案之開放應用</w:t>
      </w:r>
      <w:bookmarkStart w:id="0" w:name="_GoBack"/>
      <w:bookmarkEnd w:id="0"/>
      <w:r w:rsidRPr="00374510">
        <w:rPr>
          <w:rFonts w:ascii="標楷體" w:eastAsia="標楷體" w:hAnsi="標楷體" w:hint="eastAsia"/>
          <w:sz w:val="28"/>
          <w:szCs w:val="28"/>
        </w:rPr>
        <w:t>範圍，包括：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80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（一）公布目錄資訊。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80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（二）提供諮詢服務。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80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（三）提供閱覽、抄錄或複製。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80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（四）檔案史料編輯或研究出版。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80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（五）展覽。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80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（六）其他有關開放應用事項。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四、補償檔案應用申請之准駁，依檔案法、政府資訊公開法及其他相關法規規定辦理，檔案內容如有依法限制開放應用之事項，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分離處理，僅就其他部分提供應用。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五、檔案開放應用方式：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（一）本館補償檔案開放應用以複本及數位影像檔為原則；除經本館專案核准外，不提供應用檔案原件。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（二）因部分檔案未達公開年限、涉及個人隱私、檔案當事人或其繼承人不願公開等因素，補償檔案開放應用方式區分如下：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300" w:left="114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1、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限閱檔案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專案申請，經本館核定後，至本館指定之閱覽、抄錄或複製開放應用服務場所指定設備閱覽、抄錄，另除專案核准外，禁止進行翻拍、複製。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300" w:left="114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2、一般檔案：至本館指定之閱覽、抄錄或複製開放應用服務場</w:t>
      </w:r>
      <w:r w:rsidRPr="00374510">
        <w:rPr>
          <w:rFonts w:ascii="標楷體" w:eastAsia="標楷體" w:hAnsi="標楷體" w:hint="eastAsia"/>
          <w:sz w:val="28"/>
          <w:szCs w:val="28"/>
        </w:rPr>
        <w:lastRenderedPageBreak/>
        <w:t>所閱覽、列印，或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利用線上資料庫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閱覽、列印。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（三）補償檔案複本不提供外借，申請人須至本館指定之閱覽、抄錄或複製開放應用服務場所閱覽。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四）本館提供閱覽、抄錄或複製開放應用服務場所為本館典藏研究暨檔案中心閱覽室（新北市新店區復興路一三一號）；開放時間為星期一至星期五工作日上午九時至十二時三十分、下午一時三十分至五時（例假日及國定假日不對外開放）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（五）申請人應用補償檔案所知悉之檔案內容，應依相關法律保護規定使用之。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六、為維護閱覽環境，申請人需遵守下列事項：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（一）閱覽空間禁止飲食。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（二）除必要之書籍、文具、筆記型電腦外，請勿攜帶攝影機、相機等個人物品入內。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（三）閱覽室內除專案許可外，禁止拍攝。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（四）禁止擅自接用電源及連接閱覽室網路系統。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（五）閱覽室電腦設備僅供資源之查詢、瀏覽及列印，不得用於其它個人文書、下載或遊戲等用途。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（六）閱覽補償檔案複本應小心使用，不得污損、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塗寫、摺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角、劃線、拆散既有之裝訂或擅自攜出等情事。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（七）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限閱檔案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僅限本館指定區域閱覽。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（八）必要時，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本館得要求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檢查離開閱覽室之申請人攜出物品。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七、申請人應遵守本館各項閱覽規定，如有違反或不聽規勸者，得取消閱覽權利。情節嚴重者，報請相關單位處理。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八、為維護本館及申請人權益，訂定下列使用規範：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（一）本館提供閱覽及列印之補償檔案，申請人不得以任何形式轉載、改製、散布、公開播送、公開演出、公開傳輸、出版、發行。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（二）申請人不得對補償檔案複本及資料庫系統進行惡意攻擊、破壞、改製，如一定時間內列印數量超過合理範圍，本館有權暫停或中止申請人列印。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lastRenderedPageBreak/>
        <w:t>（三）本館提供之補償檔案，其著作權或其他權利，依著作權法及相關法令規定歸屬各權利人。申請人因使用行為而產生著作權、隱私權等影響第三人權益或造成損害，應自行負責。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九、凡應用本館補償檔案，應於成果公開發表時註明「國家人權博物館典藏研究及檔案中心館藏」，並將研究成果，提供本館一份留存。</w:t>
      </w:r>
    </w:p>
    <w:p w:rsidR="00374510" w:rsidRPr="00374510" w:rsidRDefault="00374510" w:rsidP="001541A9">
      <w:pPr>
        <w:adjustRightInd w:val="0"/>
        <w:snapToGrid w:val="0"/>
        <w:spacing w:beforeLines="50" w:before="180" w:line="44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十、檔案開放應用收費方式如下：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（一）閱覽、抄錄本館補償檔案免收費用。至本館閱覽列印之收費標準，由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本館另訂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之。</w:t>
      </w:r>
    </w:p>
    <w:p w:rsidR="00374510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（二）補償檔案當事人申請其所涉之政治案件檔案，同一檔案免收一次費用。</w:t>
      </w:r>
    </w:p>
    <w:p w:rsidR="00951837" w:rsidRPr="00374510" w:rsidRDefault="00374510" w:rsidP="001541A9">
      <w:pPr>
        <w:adjustRightInd w:val="0"/>
        <w:snapToGrid w:val="0"/>
        <w:spacing w:line="440" w:lineRule="atLeas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374510">
        <w:rPr>
          <w:rFonts w:ascii="標楷體" w:eastAsia="標楷體" w:hAnsi="標楷體" w:hint="eastAsia"/>
          <w:sz w:val="28"/>
          <w:szCs w:val="28"/>
        </w:rPr>
        <w:t>（三）當事人死亡或失蹤時，由其配偶或依民法第一千一百三十八條規定之直系血親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卑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親屬、父母、兄弟姊妹及祖父母等繼承人申請者，</w:t>
      </w:r>
      <w:proofErr w:type="gramStart"/>
      <w:r w:rsidRPr="00374510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374510">
        <w:rPr>
          <w:rFonts w:ascii="標楷體" w:eastAsia="標楷體" w:hAnsi="標楷體" w:hint="eastAsia"/>
          <w:sz w:val="28"/>
          <w:szCs w:val="28"/>
        </w:rPr>
        <w:t>用前款規定。</w:t>
      </w:r>
    </w:p>
    <w:sectPr w:rsidR="00951837" w:rsidRPr="003745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10"/>
    <w:rsid w:val="000F610C"/>
    <w:rsid w:val="001541A9"/>
    <w:rsid w:val="00374510"/>
    <w:rsid w:val="00731B89"/>
    <w:rsid w:val="007748CE"/>
    <w:rsid w:val="00F0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59F7"/>
  <w15:chartTrackingRefBased/>
  <w15:docId w15:val="{A4C9A3D8-6798-4A82-9D1D-9B03DF4F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林靜怡</dc:creator>
  <cp:keywords/>
  <dc:description/>
  <cp:lastModifiedBy>林靜怡</cp:lastModifiedBy>
  <cp:revision>4</cp:revision>
  <cp:lastPrinted>2021-09-17T07:50:00Z</cp:lastPrinted>
  <dcterms:created xsi:type="dcterms:W3CDTF">2021-09-17T07:42:00Z</dcterms:created>
  <dcterms:modified xsi:type="dcterms:W3CDTF">2021-09-17T07:50:00Z</dcterms:modified>
</cp:coreProperties>
</file>