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B7" w:rsidRPr="00A1063B" w:rsidRDefault="006F31B7" w:rsidP="002C78C6">
      <w:pPr>
        <w:spacing w:line="440" w:lineRule="exact"/>
        <w:jc w:val="center"/>
        <w:rPr>
          <w:rFonts w:ascii="標楷體" w:eastAsia="標楷體" w:hAnsi="標楷體"/>
          <w:b/>
          <w:color w:val="000000"/>
          <w:spacing w:val="-20"/>
          <w:sz w:val="40"/>
          <w:szCs w:val="36"/>
        </w:rPr>
      </w:pPr>
      <w:r w:rsidRPr="00A1063B">
        <w:rPr>
          <w:rFonts w:ascii="標楷體" w:eastAsia="標楷體" w:hAnsi="標楷體" w:hint="eastAsia"/>
          <w:b/>
          <w:color w:val="000000"/>
          <w:spacing w:val="-20"/>
          <w:sz w:val="40"/>
          <w:szCs w:val="36"/>
        </w:rPr>
        <w:t>國家人權博物館典藏</w:t>
      </w:r>
      <w:r w:rsidR="00776A9E" w:rsidRPr="00A1063B">
        <w:rPr>
          <w:rFonts w:ascii="標楷體" w:eastAsia="標楷體" w:hAnsi="標楷體" w:hint="eastAsia"/>
          <w:b/>
          <w:color w:val="000000" w:themeColor="text1"/>
          <w:spacing w:val="-20"/>
          <w:sz w:val="40"/>
          <w:szCs w:val="36"/>
        </w:rPr>
        <w:t>管理</w:t>
      </w:r>
      <w:r w:rsidRPr="00A1063B">
        <w:rPr>
          <w:rFonts w:ascii="標楷體" w:eastAsia="標楷體" w:hAnsi="標楷體" w:hint="eastAsia"/>
          <w:b/>
          <w:color w:val="000000" w:themeColor="text1"/>
          <w:spacing w:val="-20"/>
          <w:sz w:val="40"/>
          <w:szCs w:val="36"/>
        </w:rPr>
        <w:t>審</w:t>
      </w:r>
      <w:r w:rsidRPr="00A1063B">
        <w:rPr>
          <w:rFonts w:ascii="標楷體" w:eastAsia="標楷體" w:hAnsi="標楷體" w:hint="eastAsia"/>
          <w:b/>
          <w:color w:val="000000"/>
          <w:spacing w:val="-20"/>
          <w:sz w:val="40"/>
          <w:szCs w:val="36"/>
        </w:rPr>
        <w:t>議會設置要點</w:t>
      </w:r>
    </w:p>
    <w:p w:rsidR="006F31B7" w:rsidRPr="006B02EB" w:rsidRDefault="006F31B7" w:rsidP="006F31B7">
      <w:pPr>
        <w:tabs>
          <w:tab w:val="center" w:pos="4153"/>
          <w:tab w:val="right" w:pos="8306"/>
        </w:tabs>
        <w:snapToGrid w:val="0"/>
        <w:spacing w:line="4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6B02EB">
        <w:rPr>
          <w:rFonts w:ascii="標楷體" w:eastAsia="標楷體" w:hAnsi="標楷體" w:hint="eastAsia"/>
          <w:color w:val="000000"/>
          <w:sz w:val="20"/>
          <w:szCs w:val="20"/>
        </w:rPr>
        <w:t>中華民國</w:t>
      </w:r>
      <w:r w:rsidR="009C2F8A">
        <w:rPr>
          <w:rFonts w:ascii="標楷體" w:eastAsia="標楷體" w:hAnsi="標楷體" w:hint="eastAsia"/>
          <w:color w:val="000000"/>
          <w:sz w:val="20"/>
          <w:szCs w:val="20"/>
        </w:rPr>
        <w:t>108</w:t>
      </w:r>
      <w:r w:rsidRPr="006B02EB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="009C2F8A">
        <w:rPr>
          <w:rFonts w:ascii="標楷體" w:eastAsia="標楷體" w:hAnsi="標楷體" w:hint="eastAsia"/>
          <w:color w:val="000000"/>
          <w:sz w:val="20"/>
          <w:szCs w:val="20"/>
        </w:rPr>
        <w:t>09</w:t>
      </w:r>
      <w:r w:rsidRPr="006B02EB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="001E4694">
        <w:rPr>
          <w:rFonts w:ascii="標楷體" w:eastAsia="標楷體" w:hAnsi="標楷體" w:hint="eastAsia"/>
          <w:color w:val="000000"/>
          <w:sz w:val="20"/>
          <w:szCs w:val="20"/>
        </w:rPr>
        <w:t>20</w:t>
      </w:r>
      <w:r>
        <w:rPr>
          <w:rFonts w:ascii="標楷體" w:eastAsia="標楷體" w:hAnsi="標楷體" w:hint="eastAsia"/>
          <w:color w:val="000000"/>
          <w:sz w:val="20"/>
          <w:szCs w:val="20"/>
        </w:rPr>
        <w:t>日</w:t>
      </w:r>
      <w:r w:rsidR="001E4694" w:rsidRPr="001E4694">
        <w:rPr>
          <w:rFonts w:ascii="標楷體" w:eastAsia="標楷體" w:hAnsi="標楷體" w:hint="eastAsia"/>
          <w:color w:val="000000"/>
          <w:sz w:val="20"/>
          <w:szCs w:val="20"/>
        </w:rPr>
        <w:t>人權典字第1083002017號</w:t>
      </w:r>
      <w:r w:rsidRPr="006B02EB">
        <w:rPr>
          <w:rFonts w:ascii="標楷體" w:eastAsia="標楷體" w:hAnsi="標楷體" w:hint="eastAsia"/>
          <w:color w:val="000000"/>
          <w:sz w:val="20"/>
          <w:szCs w:val="20"/>
        </w:rPr>
        <w:t>函</w:t>
      </w:r>
      <w:r w:rsidR="002A372B">
        <w:rPr>
          <w:rFonts w:ascii="標楷體" w:eastAsia="標楷體" w:hAnsi="標楷體" w:hint="eastAsia"/>
          <w:color w:val="000000"/>
          <w:sz w:val="20"/>
          <w:szCs w:val="20"/>
        </w:rPr>
        <w:t>頒</w:t>
      </w:r>
    </w:p>
    <w:p w:rsidR="006F31B7" w:rsidRPr="00A1605B" w:rsidRDefault="006F31B7" w:rsidP="006F31B7">
      <w:pPr>
        <w:autoSpaceDE w:val="0"/>
        <w:autoSpaceDN w:val="0"/>
        <w:adjustRightInd w:val="0"/>
        <w:rPr>
          <w:rFonts w:ascii="標楷體" w:eastAsia="標楷體" w:hAnsi="標楷體"/>
          <w:b/>
          <w:bCs/>
          <w:color w:val="000000"/>
          <w:kern w:val="0"/>
          <w:sz w:val="20"/>
          <w:szCs w:val="20"/>
        </w:rPr>
      </w:pPr>
    </w:p>
    <w:p w:rsidR="006F31B7" w:rsidRPr="002A372B" w:rsidRDefault="006F31B7" w:rsidP="00A1063B">
      <w:pPr>
        <w:autoSpaceDE w:val="0"/>
        <w:autoSpaceDN w:val="0"/>
        <w:adjustRightInd w:val="0"/>
        <w:spacing w:line="276" w:lineRule="auto"/>
        <w:ind w:left="425" w:hangingChars="177" w:hanging="425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A1605B">
        <w:rPr>
          <w:rFonts w:ascii="標楷體" w:eastAsia="標楷體" w:hAnsi="標楷體" w:cs="標楷體T...." w:hint="eastAsia"/>
          <w:color w:val="000000"/>
          <w:kern w:val="0"/>
        </w:rPr>
        <w:t>一、</w:t>
      </w:r>
      <w:r w:rsidR="00CC79D3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國家人權博物館（以下簡稱本館）</w:t>
      </w:r>
      <w:r w:rsidR="00303887" w:rsidRPr="002A372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為</w:t>
      </w:r>
      <w:r w:rsidR="00BF0512" w:rsidRPr="002A372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執行有關藏品之</w:t>
      </w:r>
      <w:r w:rsidR="00253ACF" w:rsidRPr="002A372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審查</w:t>
      </w:r>
      <w:r w:rsidR="00BF0512" w:rsidRPr="002A372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、管理</w:t>
      </w:r>
      <w:r w:rsidR="002C78C6" w:rsidRPr="002A372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、</w:t>
      </w:r>
      <w:r w:rsidR="00F269D4" w:rsidRPr="002A372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藏品異動等行政相關</w:t>
      </w:r>
      <w:r w:rsidR="002C78C6" w:rsidRPr="002A372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事宜，</w:t>
      </w:r>
      <w:r w:rsidR="00776A9E" w:rsidRPr="002A372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特</w:t>
      </w:r>
      <w:r w:rsidR="002C78C6" w:rsidRPr="002A372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設置「</w:t>
      </w:r>
      <w:r w:rsidR="002C78C6" w:rsidRPr="002A372B">
        <w:rPr>
          <w:rFonts w:ascii="標楷體" w:eastAsia="標楷體" w:hAnsi="標楷體" w:hint="eastAsia"/>
          <w:color w:val="000000" w:themeColor="text1"/>
          <w:sz w:val="26"/>
          <w:szCs w:val="26"/>
        </w:rPr>
        <w:t>國家人權博物館</w:t>
      </w:r>
      <w:r w:rsidR="002C78C6" w:rsidRPr="002A372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典藏</w:t>
      </w:r>
      <w:r w:rsidR="00776A9E" w:rsidRPr="002A372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管理</w:t>
      </w:r>
      <w:r w:rsidR="002C78C6" w:rsidRPr="002A372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審議</w:t>
      </w:r>
      <w:r w:rsidR="004D1C9D" w:rsidRPr="002A372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會」（以下簡稱本</w:t>
      </w:r>
      <w:r w:rsidR="00B700EF" w:rsidRPr="002A372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會）</w:t>
      </w:r>
      <w:r w:rsidR="006278CB" w:rsidRPr="002A372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，並訂定本要點</w:t>
      </w:r>
      <w:r w:rsidR="00B700EF" w:rsidRPr="002A372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</w:p>
    <w:p w:rsidR="006F31B7" w:rsidRPr="002A372B" w:rsidRDefault="006F31B7" w:rsidP="00A1063B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</w:p>
    <w:p w:rsidR="00776A9E" w:rsidRPr="002A372B" w:rsidRDefault="006F31B7" w:rsidP="00A1063B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二、</w:t>
      </w:r>
      <w:r w:rsidR="00F269D4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本會</w:t>
      </w:r>
      <w:r w:rsidR="006278CB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任務</w:t>
      </w:r>
    </w:p>
    <w:p w:rsidR="001E4694" w:rsidRDefault="00776A9E" w:rsidP="00A1063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1E4694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典藏政策</w:t>
      </w:r>
      <w:r w:rsidR="006278CB" w:rsidRPr="001E4694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及</w:t>
      </w:r>
      <w:r w:rsidR="006F31B7" w:rsidRPr="001E4694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典藏計畫</w:t>
      </w:r>
      <w:r w:rsidRPr="001E4694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之訂定</w:t>
      </w:r>
      <w:r w:rsidR="006F31B7" w:rsidRPr="001E4694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。</w:t>
      </w:r>
    </w:p>
    <w:p w:rsidR="00776A9E" w:rsidRDefault="00F269D4" w:rsidP="00A1063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1E4694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藏品之入藏</w:t>
      </w:r>
      <w:r w:rsidR="006278CB" w:rsidRPr="001E4694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及</w:t>
      </w:r>
      <w:r w:rsidR="009773EC" w:rsidRPr="001E4694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分級</w:t>
      </w:r>
      <w:r w:rsidR="006F31B7" w:rsidRPr="001E4694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。</w:t>
      </w:r>
    </w:p>
    <w:p w:rsidR="00633C3A" w:rsidRDefault="00633C3A" w:rsidP="00A1063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1E4694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寄藏品之審議。</w:t>
      </w:r>
    </w:p>
    <w:p w:rsidR="00F269D4" w:rsidRDefault="00B00A29" w:rsidP="00A1063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1E4694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藏品珍貴動產之審議。</w:t>
      </w:r>
    </w:p>
    <w:p w:rsidR="00F269D4" w:rsidRDefault="00633C3A" w:rsidP="00A1063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1E4694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藏品之註銷及處置方式。</w:t>
      </w:r>
    </w:p>
    <w:p w:rsidR="001E4694" w:rsidRPr="001E4694" w:rsidRDefault="00776A9E" w:rsidP="00A1063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1E4694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其他典藏管理</w:t>
      </w:r>
      <w:r w:rsidR="002C78C6" w:rsidRPr="001E4694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相關事宜。</w:t>
      </w:r>
      <w:r w:rsidR="002C78C6" w:rsidRPr="001E4694"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  <w:t xml:space="preserve"> </w:t>
      </w:r>
    </w:p>
    <w:p w:rsidR="006F31B7" w:rsidRPr="002A372B" w:rsidRDefault="006F31B7" w:rsidP="00A1063B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</w:p>
    <w:p w:rsidR="006F31B7" w:rsidRPr="002A372B" w:rsidRDefault="006F31B7" w:rsidP="00A1063B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三、</w:t>
      </w:r>
      <w:r w:rsidR="006278CB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本</w:t>
      </w:r>
      <w:r w:rsidR="00B700EF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會</w:t>
      </w:r>
      <w:r w:rsidR="006278CB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組成方式如下</w:t>
      </w: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 xml:space="preserve"> </w:t>
      </w:r>
    </w:p>
    <w:p w:rsidR="006F31B7" w:rsidRDefault="006278CB" w:rsidP="00A1063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Chars="0" w:left="993" w:hanging="622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本會</w:t>
      </w:r>
      <w:r w:rsidR="00776A9E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置</w:t>
      </w:r>
      <w:r w:rsidR="00CC4FAB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委員七</w:t>
      </w:r>
      <w:r w:rsidR="00EC3DB7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至十三</w:t>
      </w:r>
      <w:r w:rsidR="006F31B7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人</w:t>
      </w:r>
      <w:r w:rsidR="00776A9E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，其中一人為召集人</w:t>
      </w:r>
      <w:r w:rsidR="00442E81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，另一人為副召集人</w:t>
      </w:r>
      <w:r w:rsidR="006F31B7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，</w:t>
      </w:r>
      <w:r w:rsidR="00776A9E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其組成任一性別</w:t>
      </w: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委員</w:t>
      </w:r>
      <w:r w:rsidR="00776A9E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不得少於三分之一</w:t>
      </w:r>
      <w:r w:rsidR="006F31B7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。</w:t>
      </w:r>
    </w:p>
    <w:p w:rsidR="006F31B7" w:rsidRDefault="00CC79D3" w:rsidP="00A1063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Chars="0" w:left="993" w:hanging="622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1E4694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本會之召集人由本館館長</w:t>
      </w:r>
      <w:r w:rsidR="006F31B7" w:rsidRPr="001E4694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兼任之</w:t>
      </w:r>
      <w:r w:rsidR="006278CB" w:rsidRPr="001E4694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，副召集人由副館長兼</w:t>
      </w:r>
      <w:r w:rsidR="00442E81" w:rsidRPr="001E4694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任之</w:t>
      </w:r>
      <w:r w:rsidR="006F31B7" w:rsidRPr="001E4694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。本會委員之遴選，</w:t>
      </w:r>
      <w:r w:rsidRPr="001E4694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由本館館長</w:t>
      </w:r>
      <w:r w:rsidR="006278CB" w:rsidRPr="001E4694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依據專長及學門領域，考量</w:t>
      </w:r>
      <w:r w:rsidR="006F31B7" w:rsidRPr="001E4694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人選之代表性、周延性及均衡性遴選出適當人選聘任之</w:t>
      </w:r>
      <w:r w:rsidR="00CC4FAB" w:rsidRPr="001E4694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。</w:t>
      </w:r>
    </w:p>
    <w:p w:rsidR="006F31B7" w:rsidRPr="001E4694" w:rsidRDefault="006F31B7" w:rsidP="00A1063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Chars="0" w:left="993" w:hanging="622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1E4694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 xml:space="preserve">本會委員應具下列資格之一： </w:t>
      </w:r>
    </w:p>
    <w:p w:rsidR="001E4694" w:rsidRPr="001E4694" w:rsidRDefault="000E2264" w:rsidP="00A1063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 w:left="1276" w:rightChars="-24" w:right="-58" w:hanging="282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為政治受難者，</w:t>
      </w:r>
      <w:r w:rsidR="009773EC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對威權統治時期</w:t>
      </w: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之歷史</w:t>
      </w:r>
      <w:r w:rsidR="009773EC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親身見證者</w:t>
      </w: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或其家屬</w:t>
      </w:r>
      <w:r w:rsidR="009773EC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。</w:t>
      </w:r>
    </w:p>
    <w:p w:rsidR="006F31B7" w:rsidRPr="002A372B" w:rsidRDefault="00CC79D3" w:rsidP="00A1063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 w:left="1276" w:rightChars="-24" w:right="-58" w:hanging="282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現任或曾任國內外大專院校之歷史學、政治學、社會學、</w:t>
      </w:r>
      <w:r w:rsidR="00EB76FA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法律學、</w:t>
      </w: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檔案學</w:t>
      </w:r>
      <w:r w:rsidR="006F31B7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系所副教授或相</w:t>
      </w: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關學術研究機構副研究員以上，並對人權相關物件具有研究者。</w:t>
      </w:r>
    </w:p>
    <w:p w:rsidR="00F963D2" w:rsidRPr="002A372B" w:rsidRDefault="00F963D2" w:rsidP="00A1063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 w:left="1276" w:rightChars="-24" w:right="-58" w:hanging="282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現任或曾任國內外大專院校之博物館學、</w:t>
      </w:r>
      <w:r w:rsidR="00EB76FA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文化資產、文物保存</w:t>
      </w:r>
      <w:r w:rsidR="000E2264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修護</w:t>
      </w: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學系所副教授或相關學術研究機構副研究員以上，並對</w:t>
      </w:r>
      <w:r w:rsidR="00204983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博物館</w:t>
      </w: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展示教育</w:t>
      </w:r>
      <w:r w:rsidR="00F63CF1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或文物</w:t>
      </w:r>
      <w:r w:rsidR="000E2264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典藏</w:t>
      </w:r>
      <w:r w:rsidR="00F63CF1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保存</w:t>
      </w: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具有研究者。</w:t>
      </w:r>
    </w:p>
    <w:p w:rsidR="00F63CF1" w:rsidRPr="002A372B" w:rsidRDefault="00F63CF1" w:rsidP="00A1063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 w:left="1276" w:rightChars="-24" w:right="-58" w:hanging="282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於機關</w:t>
      </w:r>
      <w:r w:rsidR="00EB76FA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團體</w:t>
      </w: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或法人機構</w:t>
      </w:r>
      <w:r w:rsidR="00CC79D3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從事</w:t>
      </w:r>
      <w:r w:rsidR="000E2264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轉型正義</w:t>
      </w: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相關議題之</w:t>
      </w:r>
      <w:r w:rsidR="00204983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工作</w:t>
      </w:r>
      <w:r w:rsidR="00CC79D3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或</w:t>
      </w: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個人從事相關</w:t>
      </w:r>
      <w:r w:rsidR="00F963D2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文史</w:t>
      </w:r>
      <w:r w:rsidR="00CC79D3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工作</w:t>
      </w:r>
      <w:r w:rsidR="006F31B7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者，並對</w:t>
      </w:r>
      <w:r w:rsidR="00CC79D3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人權物件</w:t>
      </w:r>
      <w:r w:rsidR="00EB76FA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具有研究</w:t>
      </w:r>
      <w:r w:rsidR="006F31B7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者。</w:t>
      </w:r>
    </w:p>
    <w:p w:rsidR="00564202" w:rsidRPr="002A372B" w:rsidRDefault="00F963D2" w:rsidP="00A1063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 w:left="1276" w:rightChars="-24" w:right="-58" w:hanging="282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現任或曾任博物館、文物館或</w:t>
      </w:r>
      <w:r w:rsidR="00564202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相關</w:t>
      </w:r>
      <w:r w:rsidR="00CC79D3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文化</w:t>
      </w:r>
      <w:r w:rsidR="006F31B7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機構</w:t>
      </w: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之審議委員，</w:t>
      </w:r>
      <w:r w:rsidR="006F31B7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對</w:t>
      </w:r>
      <w:r w:rsidR="00EB76FA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文化資產或</w:t>
      </w:r>
      <w:r w:rsidR="00CC79D3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文物</w:t>
      </w: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審查</w:t>
      </w:r>
      <w:r w:rsidR="00EB76FA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相關</w:t>
      </w: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程序具有經驗</w:t>
      </w:r>
      <w:r w:rsidR="006F31B7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者。</w:t>
      </w:r>
    </w:p>
    <w:p w:rsidR="006F31B7" w:rsidRPr="002A372B" w:rsidRDefault="00564202" w:rsidP="00A1063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 w:left="1276" w:rightChars="-24" w:right="-58" w:hanging="282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lastRenderedPageBreak/>
        <w:t>現任或曾任博物館、文物館或相關文化機構，對博物館之典藏研究、展示教育業務具有經驗者。</w:t>
      </w:r>
    </w:p>
    <w:p w:rsidR="005706F7" w:rsidRPr="002A372B" w:rsidRDefault="004D1C9D" w:rsidP="00A1063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Chars="0" w:left="993" w:hanging="622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本會</w:t>
      </w:r>
      <w:r w:rsidR="00442E81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委員任期二年，任期屆滿，得續聘之</w:t>
      </w:r>
      <w:r w:rsidR="00F63CF1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。</w:t>
      </w:r>
      <w:r w:rsidR="00CC79D3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委員因職務異動或無法履行其任務時，由本館館長</w:t>
      </w:r>
      <w:r w:rsidR="006F31B7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遴聘補實，任期至</w:t>
      </w:r>
      <w:r w:rsidR="00A73C59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原委員</w:t>
      </w:r>
      <w:r w:rsidR="006F31B7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屆滿為止。</w:t>
      </w:r>
      <w:r w:rsidR="00442E81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新聘委員無法產生時，得由原聘委員續任之</w:t>
      </w:r>
      <w:r w:rsidR="00A73C59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，續任任期至新委員產生為止</w:t>
      </w:r>
      <w:r w:rsidR="00442E81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。</w:t>
      </w:r>
    </w:p>
    <w:p w:rsidR="006F31B7" w:rsidRPr="002A372B" w:rsidRDefault="00A73C59" w:rsidP="00A1063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Chars="0" w:left="993" w:hanging="622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本會</w:t>
      </w:r>
      <w:r w:rsidR="00EA7870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召開會議前</w:t>
      </w:r>
      <w:r w:rsidR="00221EB0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成立「典藏審議工作小組」，辦理與典藏</w:t>
      </w:r>
      <w:r w:rsidR="00083CAF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管理</w:t>
      </w:r>
      <w:r w:rsidR="00221EB0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審議有關之作業。工作小組下</w:t>
      </w:r>
      <w:r w:rsidR="005706F7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設</w:t>
      </w:r>
      <w:r w:rsidR="004364D6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聯</w:t>
      </w:r>
      <w:r w:rsidR="005706F7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絡人一人，由</w:t>
      </w:r>
      <w:r w:rsidR="00303887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典</w:t>
      </w:r>
      <w:r w:rsidR="00CC4FAB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藏</w:t>
      </w:r>
      <w:r w:rsidR="00303887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研</w:t>
      </w:r>
      <w:r w:rsidR="00CC4FAB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究</w:t>
      </w:r>
      <w:r w:rsidR="008B0225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暨</w:t>
      </w:r>
      <w:r w:rsidR="00442E81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檔案</w:t>
      </w:r>
      <w:r w:rsidR="005706F7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中心主任兼任之</w:t>
      </w:r>
      <w:r w:rsidR="00FB2A85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，綜理典藏</w:t>
      </w:r>
      <w:r w:rsidR="00083CAF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管理</w:t>
      </w:r>
      <w:r w:rsidR="00FB2A85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審議會相關事宜</w:t>
      </w:r>
      <w:r w:rsidR="005706F7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。</w:t>
      </w:r>
      <w:r w:rsidR="00221EB0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會議承辦人</w:t>
      </w:r>
      <w:bookmarkStart w:id="0" w:name="_GoBack"/>
      <w:bookmarkEnd w:id="0"/>
      <w:r w:rsidR="005706F7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一人，</w:t>
      </w:r>
      <w:r w:rsidR="00580765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由該中心</w:t>
      </w:r>
      <w:r w:rsidR="005706F7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典藏管理人</w:t>
      </w:r>
      <w:r w:rsidR="003177B6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員</w:t>
      </w:r>
      <w:r w:rsidR="005706F7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兼任之，負責會議召開、資料蒐集、議程排定、會議記錄與</w:t>
      </w:r>
      <w:r w:rsidR="00303887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後續相關</w:t>
      </w:r>
      <w:r w:rsidR="00EA7870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行政</w:t>
      </w:r>
      <w:r w:rsidR="00303887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事宜</w:t>
      </w:r>
      <w:r w:rsidR="005706F7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。</w:t>
      </w:r>
      <w:r w:rsidR="003177B6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其他</w:t>
      </w:r>
      <w:r w:rsidR="007130B3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工作小</w:t>
      </w: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組</w:t>
      </w:r>
      <w:r w:rsidR="003177B6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成員一至</w:t>
      </w:r>
      <w:r w:rsidR="007130B3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三</w:t>
      </w:r>
      <w:r w:rsidR="003177B6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人，</w:t>
      </w: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依議</w:t>
      </w:r>
      <w:r w:rsidR="003177B6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案實際狀況</w:t>
      </w:r>
      <w:r w:rsidR="007130B3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需要，邀請</w:t>
      </w:r>
      <w:r w:rsidR="003177B6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相關人員擔任工作小組，提供必要之資料。</w:t>
      </w:r>
    </w:p>
    <w:p w:rsidR="00D5289A" w:rsidRPr="002A372B" w:rsidRDefault="00D5289A" w:rsidP="00A1063B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</w:p>
    <w:p w:rsidR="006F31B7" w:rsidRPr="002A372B" w:rsidRDefault="006F31B7" w:rsidP="00A1063B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 xml:space="preserve">四、會議規範 </w:t>
      </w:r>
    </w:p>
    <w:p w:rsidR="00564202" w:rsidRDefault="00FB2A85" w:rsidP="00A1063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本會每年</w:t>
      </w:r>
      <w:r w:rsidR="00F63CF1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至少</w:t>
      </w:r>
      <w:r w:rsidR="006F31B7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 xml:space="preserve">召開會議一次。 </w:t>
      </w:r>
    </w:p>
    <w:p w:rsidR="006F31B7" w:rsidRDefault="00CC4FAB" w:rsidP="00A1063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Chars="0" w:left="993" w:hanging="603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每次會議應有委員二分之一</w:t>
      </w:r>
      <w:r w:rsidR="006F31B7"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以上人數出席，出席委員二分之一以上同意為決議。</w:t>
      </w:r>
      <w:r w:rsidR="00A73C59"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藏品入藏及註銷審議，應有委員二分之一</w:t>
      </w:r>
      <w:r w:rsidR="00E84249"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以上人數出席，出席委員三分之二以上同意為決議。</w:t>
      </w:r>
    </w:p>
    <w:p w:rsidR="00422F2E" w:rsidRDefault="00A73C59" w:rsidP="00A1063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Chars="0" w:left="993" w:hanging="603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本會議案如有議決之需求時，採表</w:t>
      </w:r>
      <w:r w:rsidR="006F31B7"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決制。諮詢案或其他無須議決</w:t>
      </w:r>
      <w:r w:rsidR="00303887"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之議案，得彙整各委員</w:t>
      </w:r>
      <w:r w:rsidR="009773EC"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意見</w:t>
      </w:r>
      <w:r w:rsidR="00303887"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後</w:t>
      </w:r>
      <w:r w:rsidR="009773EC"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由本館館長</w:t>
      </w:r>
      <w:r w:rsidR="006F31B7"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核定。</w:t>
      </w:r>
    </w:p>
    <w:p w:rsidR="009773EC" w:rsidRDefault="006F31B7" w:rsidP="00A1063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Chars="0" w:left="993" w:hanging="603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本會得</w:t>
      </w:r>
      <w:r w:rsidR="009773EC"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依個案</w:t>
      </w:r>
      <w:r w:rsidR="00A85D3A"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之特殊性視實際</w:t>
      </w:r>
      <w:r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狀況</w:t>
      </w:r>
      <w:r w:rsidR="00A85D3A"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之需要，</w:t>
      </w:r>
      <w:r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邀請</w:t>
      </w:r>
      <w:r w:rsidR="00303887"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其他</w:t>
      </w:r>
      <w:r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外聘專家</w:t>
      </w:r>
      <w:r w:rsidR="00A85D3A"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學者</w:t>
      </w:r>
      <w:r w:rsidR="002E6068"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或相關人員</w:t>
      </w:r>
      <w:r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列席會議提供意見。</w:t>
      </w:r>
    </w:p>
    <w:p w:rsidR="006F31B7" w:rsidRDefault="00A73C59" w:rsidP="00A1063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Chars="0" w:left="993" w:hanging="603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本會</w:t>
      </w:r>
      <w:r w:rsidR="00A85D3A"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委員</w:t>
      </w:r>
      <w:r w:rsidR="006F31B7"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對於審議案件</w:t>
      </w:r>
      <w:r w:rsidR="00A85D3A"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，</w:t>
      </w:r>
      <w:r w:rsidR="006F31B7"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與自身或其配偶或其三等親內親屬有利害關係</w:t>
      </w:r>
      <w:r w:rsidR="00A85D3A"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時</w:t>
      </w:r>
      <w:r w:rsidR="009773EC"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應</w:t>
      </w:r>
      <w:r w:rsidR="006F31B7"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 xml:space="preserve">行迴避。 </w:t>
      </w:r>
    </w:p>
    <w:p w:rsidR="006F31B7" w:rsidRDefault="00A73C59" w:rsidP="00A1063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Chars="0" w:left="993" w:hanging="603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本會</w:t>
      </w:r>
      <w:r w:rsidR="006F31B7"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委員對會議內容</w:t>
      </w:r>
      <w:r w:rsidR="009773EC"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於核定公告前，應遵守保密</w:t>
      </w:r>
      <w:r w:rsidR="006F31B7"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之義務。</w:t>
      </w:r>
    </w:p>
    <w:p w:rsidR="006F31B7" w:rsidRPr="00422F2E" w:rsidRDefault="006F31B7" w:rsidP="00A1063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Chars="0" w:left="993" w:hanging="603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  <w:r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本會</w:t>
      </w:r>
      <w:r w:rsidR="00A73C59"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委員</w:t>
      </w:r>
      <w:r w:rsidR="00E84249"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及工作人員均為無給職</w:t>
      </w:r>
      <w:r w:rsidRPr="00422F2E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。</w:t>
      </w:r>
    </w:p>
    <w:p w:rsidR="00CC4FAB" w:rsidRPr="002A372B" w:rsidRDefault="00CC4FAB" w:rsidP="00A1063B">
      <w:pPr>
        <w:tabs>
          <w:tab w:val="center" w:pos="4153"/>
          <w:tab w:val="right" w:pos="8306"/>
        </w:tabs>
        <w:snapToGrid w:val="0"/>
        <w:spacing w:line="276" w:lineRule="auto"/>
        <w:jc w:val="both"/>
        <w:rPr>
          <w:rFonts w:ascii="標楷體" w:eastAsia="標楷體" w:hAnsi="標楷體" w:cs="標楷體T...."/>
          <w:color w:val="000000" w:themeColor="text1"/>
          <w:kern w:val="0"/>
          <w:sz w:val="26"/>
          <w:szCs w:val="26"/>
        </w:rPr>
      </w:pPr>
    </w:p>
    <w:p w:rsidR="00F409A9" w:rsidRPr="00422F2E" w:rsidRDefault="00221EB0" w:rsidP="00A1063B">
      <w:pPr>
        <w:tabs>
          <w:tab w:val="center" w:pos="4153"/>
          <w:tab w:val="right" w:pos="8306"/>
        </w:tabs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五</w:t>
      </w:r>
      <w:r w:rsidR="00CC4FAB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、</w:t>
      </w:r>
      <w:r w:rsidR="00F963D2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本要點經本館館長</w:t>
      </w:r>
      <w:r w:rsidR="006F31B7" w:rsidRPr="002A372B">
        <w:rPr>
          <w:rFonts w:ascii="標楷體" w:eastAsia="標楷體" w:hAnsi="標楷體" w:cs="標楷體T...." w:hint="eastAsia"/>
          <w:color w:val="000000" w:themeColor="text1"/>
          <w:kern w:val="0"/>
          <w:sz w:val="26"/>
          <w:szCs w:val="26"/>
        </w:rPr>
        <w:t>核定後函頒施行，修正時亦同。</w:t>
      </w:r>
    </w:p>
    <w:sectPr w:rsidR="00F409A9" w:rsidRPr="00422F2E" w:rsidSect="00A1063B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64" w:rsidRDefault="003F7D64" w:rsidP="002C78C6">
      <w:r>
        <w:separator/>
      </w:r>
    </w:p>
  </w:endnote>
  <w:endnote w:type="continuationSeparator" w:id="0">
    <w:p w:rsidR="003F7D64" w:rsidRDefault="003F7D64" w:rsidP="002C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T.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64" w:rsidRDefault="003F7D64" w:rsidP="002C78C6">
      <w:r>
        <w:separator/>
      </w:r>
    </w:p>
  </w:footnote>
  <w:footnote w:type="continuationSeparator" w:id="0">
    <w:p w:rsidR="003F7D64" w:rsidRDefault="003F7D64" w:rsidP="002C7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5C6E"/>
    <w:multiLevelType w:val="hybridMultilevel"/>
    <w:tmpl w:val="22C07ADA"/>
    <w:lvl w:ilvl="0" w:tplc="807CA986">
      <w:start w:val="1"/>
      <w:numFmt w:val="taiwaneseCountingThousand"/>
      <w:lvlText w:val="(%1)"/>
      <w:lvlJc w:val="left"/>
      <w:pPr>
        <w:ind w:left="8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" w15:restartNumberingAfterBreak="0">
    <w:nsid w:val="0B446B2B"/>
    <w:multiLevelType w:val="hybridMultilevel"/>
    <w:tmpl w:val="22C07ADA"/>
    <w:lvl w:ilvl="0" w:tplc="807CA986">
      <w:start w:val="1"/>
      <w:numFmt w:val="taiwaneseCountingThousand"/>
      <w:lvlText w:val="(%1)"/>
      <w:lvlJc w:val="left"/>
      <w:pPr>
        <w:ind w:left="8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" w15:restartNumberingAfterBreak="0">
    <w:nsid w:val="293D512A"/>
    <w:multiLevelType w:val="hybridMultilevel"/>
    <w:tmpl w:val="22C07ADA"/>
    <w:lvl w:ilvl="0" w:tplc="807CA986">
      <w:start w:val="1"/>
      <w:numFmt w:val="taiwaneseCountingThousand"/>
      <w:lvlText w:val="(%1)"/>
      <w:lvlJc w:val="left"/>
      <w:pPr>
        <w:ind w:left="8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" w15:restartNumberingAfterBreak="0">
    <w:nsid w:val="2AEB3981"/>
    <w:multiLevelType w:val="hybridMultilevel"/>
    <w:tmpl w:val="A92A2728"/>
    <w:lvl w:ilvl="0" w:tplc="0409000F">
      <w:start w:val="1"/>
      <w:numFmt w:val="decimal"/>
      <w:lvlText w:val="%1."/>
      <w:lvlJc w:val="left"/>
      <w:pPr>
        <w:ind w:left="14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" w15:restartNumberingAfterBreak="0">
    <w:nsid w:val="4B0665F5"/>
    <w:multiLevelType w:val="hybridMultilevel"/>
    <w:tmpl w:val="3EBC0056"/>
    <w:lvl w:ilvl="0" w:tplc="67245646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5" w15:restartNumberingAfterBreak="0">
    <w:nsid w:val="522F2047"/>
    <w:multiLevelType w:val="hybridMultilevel"/>
    <w:tmpl w:val="C4C8EA48"/>
    <w:lvl w:ilvl="0" w:tplc="29C23B5C">
      <w:start w:val="1"/>
      <w:numFmt w:val="taiwaneseCountingThousand"/>
      <w:lvlText w:val="（%1）"/>
      <w:lvlJc w:val="left"/>
      <w:pPr>
        <w:ind w:left="115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1B7"/>
    <w:rsid w:val="00057135"/>
    <w:rsid w:val="00083CAF"/>
    <w:rsid w:val="000B0B22"/>
    <w:rsid w:val="000E2264"/>
    <w:rsid w:val="000F41ED"/>
    <w:rsid w:val="00115E28"/>
    <w:rsid w:val="00193228"/>
    <w:rsid w:val="001A2BCF"/>
    <w:rsid w:val="001E4694"/>
    <w:rsid w:val="001E49F3"/>
    <w:rsid w:val="00204983"/>
    <w:rsid w:val="00216B3A"/>
    <w:rsid w:val="00221EB0"/>
    <w:rsid w:val="00253ACF"/>
    <w:rsid w:val="00295690"/>
    <w:rsid w:val="002A372B"/>
    <w:rsid w:val="002C78C6"/>
    <w:rsid w:val="002E0E34"/>
    <w:rsid w:val="002E6068"/>
    <w:rsid w:val="002F1156"/>
    <w:rsid w:val="00303887"/>
    <w:rsid w:val="003177B6"/>
    <w:rsid w:val="0032686D"/>
    <w:rsid w:val="003F3099"/>
    <w:rsid w:val="003F7D64"/>
    <w:rsid w:val="00401316"/>
    <w:rsid w:val="00421B5D"/>
    <w:rsid w:val="00422F2E"/>
    <w:rsid w:val="004364D6"/>
    <w:rsid w:val="00442E81"/>
    <w:rsid w:val="004B7E63"/>
    <w:rsid w:val="004D1C9D"/>
    <w:rsid w:val="0052078C"/>
    <w:rsid w:val="00527E04"/>
    <w:rsid w:val="00564202"/>
    <w:rsid w:val="005706F7"/>
    <w:rsid w:val="00580765"/>
    <w:rsid w:val="00620A6D"/>
    <w:rsid w:val="006278CB"/>
    <w:rsid w:val="00633C3A"/>
    <w:rsid w:val="006D1258"/>
    <w:rsid w:val="006F31B7"/>
    <w:rsid w:val="007130B3"/>
    <w:rsid w:val="00763943"/>
    <w:rsid w:val="00776A9E"/>
    <w:rsid w:val="008B0225"/>
    <w:rsid w:val="008C284E"/>
    <w:rsid w:val="009531C0"/>
    <w:rsid w:val="00973947"/>
    <w:rsid w:val="009773EC"/>
    <w:rsid w:val="00982D71"/>
    <w:rsid w:val="009C2F8A"/>
    <w:rsid w:val="009C55B3"/>
    <w:rsid w:val="00A1063B"/>
    <w:rsid w:val="00A30A4D"/>
    <w:rsid w:val="00A73C59"/>
    <w:rsid w:val="00A74FA9"/>
    <w:rsid w:val="00A85D3A"/>
    <w:rsid w:val="00AA7523"/>
    <w:rsid w:val="00B00A29"/>
    <w:rsid w:val="00B36A59"/>
    <w:rsid w:val="00B700EF"/>
    <w:rsid w:val="00B95853"/>
    <w:rsid w:val="00BC54DA"/>
    <w:rsid w:val="00BF0512"/>
    <w:rsid w:val="00C072C0"/>
    <w:rsid w:val="00CC10E0"/>
    <w:rsid w:val="00CC4FAB"/>
    <w:rsid w:val="00CC6176"/>
    <w:rsid w:val="00CC75A1"/>
    <w:rsid w:val="00CC79D3"/>
    <w:rsid w:val="00D5289A"/>
    <w:rsid w:val="00D619F4"/>
    <w:rsid w:val="00D6465A"/>
    <w:rsid w:val="00D87053"/>
    <w:rsid w:val="00E84249"/>
    <w:rsid w:val="00E972EE"/>
    <w:rsid w:val="00EA7870"/>
    <w:rsid w:val="00EB76FA"/>
    <w:rsid w:val="00EC3DB7"/>
    <w:rsid w:val="00EC66F6"/>
    <w:rsid w:val="00F269D4"/>
    <w:rsid w:val="00F409A9"/>
    <w:rsid w:val="00F42056"/>
    <w:rsid w:val="00F4502D"/>
    <w:rsid w:val="00F63CF1"/>
    <w:rsid w:val="00F84B06"/>
    <w:rsid w:val="00F963D2"/>
    <w:rsid w:val="00FA5140"/>
    <w:rsid w:val="00FB2A85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16656"/>
  <w15:docId w15:val="{576A664B-CC9B-4309-B043-A2360FB6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1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1B7"/>
    <w:pPr>
      <w:widowControl w:val="0"/>
      <w:autoSpaceDE w:val="0"/>
      <w:autoSpaceDN w:val="0"/>
      <w:adjustRightInd w:val="0"/>
    </w:pPr>
    <w:rPr>
      <w:rFonts w:ascii="標楷體T...." w:eastAsia="標楷體T...." w:hAnsi="Times New Roman" w:cs="標楷體T....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CC79D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7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78C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7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78C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2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28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X453MA</dc:creator>
  <cp:lastModifiedBy>蘇玲君</cp:lastModifiedBy>
  <cp:revision>20</cp:revision>
  <dcterms:created xsi:type="dcterms:W3CDTF">2019-07-19T00:39:00Z</dcterms:created>
  <dcterms:modified xsi:type="dcterms:W3CDTF">2019-09-20T02:08:00Z</dcterms:modified>
</cp:coreProperties>
</file>